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A8" w:rsidRPr="002A2E82" w:rsidRDefault="007616A8" w:rsidP="00B47924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2A2E82">
        <w:rPr>
          <w:b/>
          <w:bCs/>
          <w:sz w:val="28"/>
          <w:szCs w:val="28"/>
        </w:rPr>
        <w:t>Ministru kabineta noteikumu projekta</w:t>
      </w:r>
    </w:p>
    <w:bookmarkEnd w:id="0"/>
    <w:bookmarkEnd w:id="1"/>
    <w:p w:rsidR="007616A8" w:rsidRPr="002A2E82" w:rsidRDefault="007616A8" w:rsidP="00B47924">
      <w:pPr>
        <w:jc w:val="center"/>
      </w:pPr>
      <w:r w:rsidRPr="008C6884">
        <w:rPr>
          <w:b/>
          <w:bCs/>
          <w:sz w:val="28"/>
          <w:szCs w:val="28"/>
        </w:rPr>
        <w:t>„Grozījums Ministru kabineta 2010.gada 28.decembra noteikumos Nr.1206 „Kārtība, kādā aprēķina, piešķir un izlieto valsts budžetā paredzētos līdzekļus pašvaldībām pamatizglītības iestādes skolēnu ēdināšanai</w:t>
      </w:r>
      <w:r>
        <w:rPr>
          <w:b/>
          <w:bCs/>
          <w:sz w:val="28"/>
          <w:szCs w:val="28"/>
        </w:rPr>
        <w:t>”</w:t>
      </w:r>
      <w:r w:rsidRPr="008C6884">
        <w:rPr>
          <w:b/>
          <w:bCs/>
          <w:sz w:val="28"/>
          <w:szCs w:val="28"/>
        </w:rPr>
        <w:t>”</w:t>
      </w:r>
      <w:r w:rsidRPr="00B47924">
        <w:t xml:space="preserve"> </w:t>
      </w:r>
      <w:r w:rsidRPr="00B47924">
        <w:rPr>
          <w:b/>
          <w:bCs/>
          <w:sz w:val="28"/>
          <w:szCs w:val="28"/>
        </w:rPr>
        <w:t>sākotnējās ietekmes novērtējuma ziņojums (anotācija)</w:t>
      </w:r>
    </w:p>
    <w:p w:rsidR="007616A8" w:rsidRPr="002A2E82" w:rsidRDefault="007616A8" w:rsidP="002A2E82">
      <w:pPr>
        <w:pStyle w:val="tv207879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693"/>
        <w:gridCol w:w="5885"/>
      </w:tblGrid>
      <w:tr w:rsidR="007616A8" w:rsidRPr="00A57CF7">
        <w:tc>
          <w:tcPr>
            <w:tcW w:w="9077" w:type="dxa"/>
            <w:gridSpan w:val="3"/>
            <w:vAlign w:val="center"/>
          </w:tcPr>
          <w:p w:rsidR="007616A8" w:rsidRPr="00A57CF7" w:rsidRDefault="007616A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7616A8" w:rsidRPr="00A57CF7">
        <w:trPr>
          <w:trHeight w:val="630"/>
        </w:trPr>
        <w:tc>
          <w:tcPr>
            <w:tcW w:w="499" w:type="dxa"/>
          </w:tcPr>
          <w:p w:rsidR="007616A8" w:rsidRPr="00A57CF7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7616A8" w:rsidRPr="00A57CF7" w:rsidRDefault="007616A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5885" w:type="dxa"/>
          </w:tcPr>
          <w:p w:rsidR="007616A8" w:rsidRDefault="007616A8" w:rsidP="001736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Ministru kabineta noteikumu projekts „</w:t>
            </w:r>
            <w:r w:rsidRPr="000D13D2">
              <w:rPr>
                <w:color w:val="000000"/>
                <w:sz w:val="26"/>
                <w:szCs w:val="26"/>
              </w:rPr>
              <w:t>Grozījums Ministru kabineta 2010.gada 28.decembra noteikumos Nr.1206 „Kārtība, kādā aprēķina, piešķir un izlieto valsts budžetā paredzētos līdzekļus pašvaldībām pamatizglītības iestādes skolēnu ēdināšanai</w:t>
            </w:r>
            <w:r>
              <w:rPr>
                <w:color w:val="000000"/>
                <w:sz w:val="26"/>
                <w:szCs w:val="26"/>
              </w:rPr>
              <w:t>”” (turpmāk – projekts) sagatavots, saskaņā ar:</w:t>
            </w:r>
          </w:p>
          <w:p w:rsidR="007616A8" w:rsidRDefault="007616A8" w:rsidP="003B49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1) </w:t>
            </w:r>
            <w:r w:rsidRPr="0076731E">
              <w:rPr>
                <w:i/>
                <w:iCs/>
                <w:color w:val="000000"/>
                <w:sz w:val="26"/>
                <w:szCs w:val="26"/>
              </w:rPr>
              <w:t>Euro</w:t>
            </w:r>
            <w:r>
              <w:rPr>
                <w:color w:val="000000"/>
                <w:sz w:val="26"/>
                <w:szCs w:val="26"/>
              </w:rPr>
              <w:t xml:space="preserve"> ieviešanas kārtības likuma 30.panta pirmo daļu; 2) Ministru kabineta 2012.gada 27.jūnija rīkojuma Nr.282 „Par Koncepciju par normatīvo aktu sakārtošanu saistībā ar eiro ievešanu Latvijā” 7.1.apakšpunktu;</w:t>
            </w:r>
          </w:p>
          <w:p w:rsidR="007616A8" w:rsidRDefault="007616A8" w:rsidP="003B49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3) Latvijas Nacionālā </w:t>
            </w:r>
            <w:r w:rsidRPr="007E4900">
              <w:rPr>
                <w:i/>
                <w:iCs/>
                <w:color w:val="000000"/>
                <w:sz w:val="26"/>
                <w:szCs w:val="26"/>
              </w:rPr>
              <w:t>e</w:t>
            </w:r>
            <w:r>
              <w:rPr>
                <w:i/>
                <w:iCs/>
                <w:color w:val="000000"/>
                <w:sz w:val="26"/>
                <w:szCs w:val="26"/>
              </w:rPr>
              <w:t>u</w:t>
            </w:r>
            <w:r w:rsidRPr="007E4900">
              <w:rPr>
                <w:i/>
                <w:iCs/>
                <w:color w:val="000000"/>
                <w:sz w:val="26"/>
                <w:szCs w:val="26"/>
              </w:rPr>
              <w:t>ro</w:t>
            </w:r>
            <w:r>
              <w:rPr>
                <w:color w:val="000000"/>
                <w:sz w:val="26"/>
                <w:szCs w:val="26"/>
              </w:rPr>
              <w:t xml:space="preserve"> ieviešanas plāna (apstiprināts ar Ministru kabineta 2013.gada 4.aprīļa rīkojumu Nr.136) 1.pielikuma J2.2.2.apakšpunktu;</w:t>
            </w:r>
          </w:p>
          <w:p w:rsidR="007616A8" w:rsidRPr="00A040D6" w:rsidRDefault="007616A8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4) Ministru kabineta 2013.gada 29.maija rīkojuma Nr.212 „Par tiesību aktu grozījumu virzību saistībā ar </w:t>
            </w:r>
            <w:r w:rsidRPr="000315E0">
              <w:rPr>
                <w:i/>
                <w:iCs/>
                <w:color w:val="000000"/>
                <w:sz w:val="26"/>
                <w:szCs w:val="26"/>
              </w:rPr>
              <w:t>euro</w:t>
            </w:r>
            <w:r>
              <w:rPr>
                <w:color w:val="000000"/>
                <w:sz w:val="26"/>
                <w:szCs w:val="26"/>
              </w:rPr>
              <w:t xml:space="preserve"> ieviešanu Latvijā” 1.1. un 1.5.apakšpunktu.   </w:t>
            </w:r>
          </w:p>
        </w:tc>
      </w:tr>
      <w:tr w:rsidR="007616A8" w:rsidRPr="00A57CF7">
        <w:trPr>
          <w:trHeight w:val="2255"/>
        </w:trPr>
        <w:tc>
          <w:tcPr>
            <w:tcW w:w="499" w:type="dxa"/>
          </w:tcPr>
          <w:p w:rsidR="007616A8" w:rsidRPr="00A57CF7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7616A8" w:rsidRPr="00A57CF7" w:rsidRDefault="007616A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885" w:type="dxa"/>
          </w:tcPr>
          <w:p w:rsidR="007616A8" w:rsidRPr="00D66206" w:rsidRDefault="007616A8" w:rsidP="00D81883">
            <w:pPr>
              <w:pStyle w:val="NoSpacing"/>
              <w:ind w:right="141"/>
              <w:jc w:val="both"/>
              <w:rPr>
                <w:sz w:val="26"/>
                <w:szCs w:val="26"/>
              </w:rPr>
            </w:pPr>
            <w:r w:rsidRPr="00D66206">
              <w:rPr>
                <w:sz w:val="26"/>
                <w:szCs w:val="26"/>
              </w:rPr>
              <w:t>Ministru kabineta 2010.gada 28.decembra noteikumos Nr.1206 „Kārtība, kādā aprēķina, piešķir un izlieto valsts budžetā paredzētos līdzekļus pašvaldībām pamatizglītības iestādes skolēnu ēdināšanai”</w:t>
            </w:r>
            <w:r>
              <w:rPr>
                <w:sz w:val="26"/>
                <w:szCs w:val="26"/>
              </w:rPr>
              <w:t xml:space="preserve"> valsts budžeta līdzekļu apmērs viena izglītojamā ēdināšanai dienā norādīts latos. Ievērojot minēto un to, ka ar 2014.gada 1.janvāri Latvijā plānots ieviest </w:t>
            </w:r>
            <w:r w:rsidRPr="00C954D6">
              <w:rPr>
                <w:i/>
                <w:iCs/>
                <w:color w:val="000000"/>
                <w:sz w:val="26"/>
                <w:szCs w:val="26"/>
                <w:lang w:eastAsia="lv-LV"/>
              </w:rPr>
              <w:t>euro</w:t>
            </w:r>
            <w:r w:rsidRPr="00D662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nepieciešams izdarīt grozījumu minētajos Ministru kabineta noteikumos. </w:t>
            </w:r>
          </w:p>
        </w:tc>
      </w:tr>
      <w:tr w:rsidR="007616A8" w:rsidRPr="00A57CF7">
        <w:trPr>
          <w:trHeight w:val="1071"/>
        </w:trPr>
        <w:tc>
          <w:tcPr>
            <w:tcW w:w="499" w:type="dxa"/>
          </w:tcPr>
          <w:p w:rsidR="007616A8" w:rsidRPr="00A57CF7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7616A8" w:rsidRPr="00A57CF7" w:rsidRDefault="007616A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885" w:type="dxa"/>
          </w:tcPr>
          <w:p w:rsidR="007616A8" w:rsidRPr="00A57CF7" w:rsidRDefault="007616A8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A57CF7">
              <w:rPr>
                <w:sz w:val="26"/>
                <w:szCs w:val="26"/>
              </w:rPr>
              <w:t>rojekts šo jomu neskar.</w:t>
            </w:r>
          </w:p>
        </w:tc>
      </w:tr>
      <w:tr w:rsidR="007616A8" w:rsidRPr="00A57CF7">
        <w:trPr>
          <w:trHeight w:val="978"/>
        </w:trPr>
        <w:tc>
          <w:tcPr>
            <w:tcW w:w="499" w:type="dxa"/>
          </w:tcPr>
          <w:p w:rsidR="007616A8" w:rsidRPr="00A57CF7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7616A8" w:rsidRPr="00A57CF7" w:rsidRDefault="007616A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5885" w:type="dxa"/>
          </w:tcPr>
          <w:p w:rsidR="007616A8" w:rsidRPr="007515E2" w:rsidRDefault="007616A8" w:rsidP="009835ED">
            <w:pPr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  <w:szCs w:val="26"/>
              </w:rPr>
              <w:t xml:space="preserve">Projekta mērķis ir </w:t>
            </w:r>
            <w:r w:rsidRPr="00D66206">
              <w:rPr>
                <w:sz w:val="26"/>
                <w:szCs w:val="26"/>
              </w:rPr>
              <w:t>Ministru kabineta 2010.gada 28.decembra noteikum</w:t>
            </w:r>
            <w:r>
              <w:rPr>
                <w:sz w:val="26"/>
                <w:szCs w:val="26"/>
              </w:rPr>
              <w:t>u</w:t>
            </w:r>
            <w:r w:rsidRPr="00D66206">
              <w:rPr>
                <w:sz w:val="26"/>
                <w:szCs w:val="26"/>
              </w:rPr>
              <w:t>s Nr.1206 „Kārtība, kādā aprēķina, piešķir un izlieto valsts budžetā paredzētos līdzekļus pašvaldībām pamatizglītības iestādes skolēnu ēdināšanai”</w:t>
            </w:r>
            <w:r>
              <w:rPr>
                <w:sz w:val="26"/>
                <w:szCs w:val="26"/>
              </w:rPr>
              <w:t xml:space="preserve"> </w:t>
            </w:r>
            <w:r w:rsidRPr="007515E2">
              <w:rPr>
                <w:sz w:val="26"/>
                <w:szCs w:val="26"/>
              </w:rPr>
              <w:t xml:space="preserve">pielāgot </w:t>
            </w:r>
            <w:r w:rsidRPr="007515E2">
              <w:rPr>
                <w:i/>
                <w:iCs/>
                <w:sz w:val="26"/>
                <w:szCs w:val="26"/>
              </w:rPr>
              <w:t>euro</w:t>
            </w:r>
            <w:r w:rsidRPr="007515E2">
              <w:rPr>
                <w:sz w:val="26"/>
                <w:szCs w:val="26"/>
              </w:rPr>
              <w:t xml:space="preserve"> ieviešanai. </w:t>
            </w:r>
            <w:r>
              <w:rPr>
                <w:sz w:val="26"/>
                <w:szCs w:val="26"/>
              </w:rPr>
              <w:t>Projekts nodrošina minētā mērķa sasniegšanu.</w:t>
            </w:r>
          </w:p>
          <w:p w:rsidR="007616A8" w:rsidRPr="007515E2" w:rsidRDefault="007616A8" w:rsidP="009835ED">
            <w:pPr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  <w:szCs w:val="26"/>
              </w:rPr>
              <w:t xml:space="preserve">Projekts sagatavots atbilstoši </w:t>
            </w:r>
            <w:r>
              <w:rPr>
                <w:i/>
                <w:iCs/>
                <w:sz w:val="26"/>
                <w:szCs w:val="26"/>
              </w:rPr>
              <w:t>E</w:t>
            </w:r>
            <w:r w:rsidRPr="007515E2">
              <w:rPr>
                <w:i/>
                <w:iCs/>
                <w:sz w:val="26"/>
                <w:szCs w:val="26"/>
              </w:rPr>
              <w:t>uro</w:t>
            </w:r>
            <w:r w:rsidRPr="007515E2">
              <w:rPr>
                <w:sz w:val="26"/>
                <w:szCs w:val="26"/>
              </w:rPr>
              <w:t xml:space="preserve"> ieviešanas kārtības </w:t>
            </w:r>
            <w:r w:rsidRPr="007515E2">
              <w:rPr>
                <w:sz w:val="26"/>
                <w:szCs w:val="26"/>
              </w:rPr>
              <w:lastRenderedPageBreak/>
              <w:t>likuma 6.panta otrajai daļai.</w:t>
            </w:r>
          </w:p>
          <w:p w:rsidR="007616A8" w:rsidRPr="00A57CF7" w:rsidRDefault="007616A8" w:rsidP="00480E6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  <w:szCs w:val="26"/>
              </w:rPr>
              <w:t>Aprēķins</w:t>
            </w:r>
            <w:r w:rsidR="003B2DE0">
              <w:rPr>
                <w:sz w:val="26"/>
                <w:szCs w:val="26"/>
              </w:rPr>
              <w:t xml:space="preserve"> (pielikums)</w:t>
            </w:r>
            <w:r w:rsidRPr="007515E2">
              <w:rPr>
                <w:sz w:val="26"/>
                <w:szCs w:val="26"/>
              </w:rPr>
              <w:t xml:space="preserve"> veikts, izmantojot </w:t>
            </w:r>
            <w:r w:rsidR="00480E6B">
              <w:rPr>
                <w:sz w:val="26"/>
                <w:szCs w:val="26"/>
              </w:rPr>
              <w:t xml:space="preserve">neatsaucami fiksētu </w:t>
            </w:r>
            <w:r w:rsidR="003C1BD0" w:rsidRPr="003C1BD0">
              <w:rPr>
                <w:i/>
                <w:sz w:val="26"/>
                <w:szCs w:val="26"/>
              </w:rPr>
              <w:t>euro</w:t>
            </w:r>
            <w:r w:rsidR="00480E6B">
              <w:rPr>
                <w:sz w:val="26"/>
                <w:szCs w:val="26"/>
              </w:rPr>
              <w:t xml:space="preserve"> maiņas </w:t>
            </w:r>
            <w:r w:rsidRPr="007515E2">
              <w:rPr>
                <w:sz w:val="26"/>
                <w:szCs w:val="26"/>
              </w:rPr>
              <w:t xml:space="preserve"> kursu EUR 1 = LVL 0,702804</w:t>
            </w:r>
            <w:r w:rsidR="006036AE">
              <w:rPr>
                <w:sz w:val="26"/>
                <w:szCs w:val="26"/>
              </w:rPr>
              <w:t>,</w:t>
            </w:r>
            <w:r w:rsidR="006036AE" w:rsidRPr="007E1CAA">
              <w:rPr>
                <w:sz w:val="26"/>
              </w:rPr>
              <w:t xml:space="preserve"> ko saskaņā ar Līguma par Eiropas Savienības darbību 140.panta 3.punktu Eiropas Savienības Padome noteikusi latu apmaiņai pret </w:t>
            </w:r>
            <w:r w:rsidR="006036AE" w:rsidRPr="007E1CAA">
              <w:rPr>
                <w:i/>
                <w:sz w:val="26"/>
              </w:rPr>
              <w:t>euro</w:t>
            </w:r>
            <w:r w:rsidR="006036AE">
              <w:rPr>
                <w:sz w:val="26"/>
                <w:szCs w:val="26"/>
              </w:rPr>
              <w:t xml:space="preserve"> </w:t>
            </w:r>
            <w:r w:rsidRPr="007515E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Viena izglītojamā ēdināšanai dienā paredzēti LVL 0,80 = 0,80/</w:t>
            </w:r>
            <w:r w:rsidRPr="007515E2">
              <w:rPr>
                <w:sz w:val="26"/>
                <w:szCs w:val="26"/>
              </w:rPr>
              <w:t>0,702804</w:t>
            </w:r>
            <w:r>
              <w:rPr>
                <w:sz w:val="26"/>
                <w:szCs w:val="26"/>
              </w:rPr>
              <w:t xml:space="preserve">= EUR 1,138297= EUR 1,14. </w:t>
            </w:r>
            <w:r w:rsidRPr="007515E2">
              <w:rPr>
                <w:sz w:val="26"/>
                <w:szCs w:val="26"/>
              </w:rPr>
              <w:t>Aprēķina rezultātā netiek radīta ietekme uz valsts budžetu.</w:t>
            </w:r>
            <w:r w:rsidRPr="00A57CF7">
              <w:rPr>
                <w:sz w:val="26"/>
                <w:szCs w:val="26"/>
              </w:rPr>
              <w:t xml:space="preserve"> </w:t>
            </w:r>
          </w:p>
        </w:tc>
      </w:tr>
      <w:tr w:rsidR="007616A8" w:rsidRPr="00A57CF7">
        <w:trPr>
          <w:trHeight w:val="476"/>
        </w:trPr>
        <w:tc>
          <w:tcPr>
            <w:tcW w:w="499" w:type="dxa"/>
          </w:tcPr>
          <w:p w:rsidR="007616A8" w:rsidRPr="00A57CF7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7616A8" w:rsidRPr="00A57CF7" w:rsidRDefault="007616A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885" w:type="dxa"/>
          </w:tcPr>
          <w:p w:rsidR="001D607D" w:rsidRDefault="007616A8">
            <w:pPr>
              <w:pStyle w:val="naisc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>
              <w:rPr>
                <w:sz w:val="26"/>
                <w:szCs w:val="26"/>
              </w:rPr>
              <w:t>.</w:t>
            </w:r>
          </w:p>
        </w:tc>
      </w:tr>
      <w:tr w:rsidR="007616A8" w:rsidRPr="00A57CF7">
        <w:trPr>
          <w:trHeight w:val="904"/>
        </w:trPr>
        <w:tc>
          <w:tcPr>
            <w:tcW w:w="499" w:type="dxa"/>
          </w:tcPr>
          <w:p w:rsidR="007616A8" w:rsidRPr="00A57CF7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7616A8" w:rsidRPr="00A57CF7" w:rsidRDefault="007616A8" w:rsidP="000A4A7D">
            <w:pPr>
              <w:pStyle w:val="naiskr"/>
              <w:spacing w:before="0" w:after="0"/>
              <w:rPr>
                <w:i/>
                <w:iCs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885" w:type="dxa"/>
          </w:tcPr>
          <w:p w:rsidR="007616A8" w:rsidRPr="001D4B90" w:rsidRDefault="007616A8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7616A8" w:rsidRPr="00A57CF7">
        <w:tc>
          <w:tcPr>
            <w:tcW w:w="499" w:type="dxa"/>
          </w:tcPr>
          <w:p w:rsidR="007616A8" w:rsidRPr="00A57CF7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7616A8" w:rsidRPr="00A57CF7" w:rsidRDefault="007616A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885" w:type="dxa"/>
          </w:tcPr>
          <w:p w:rsidR="007616A8" w:rsidRPr="00A57CF7" w:rsidRDefault="00044E67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A57CF7">
              <w:rPr>
                <w:sz w:val="26"/>
                <w:szCs w:val="26"/>
              </w:rPr>
              <w:t>rojekts šo jomu neskar.</w:t>
            </w:r>
            <w:r w:rsidR="007616A8">
              <w:rPr>
                <w:sz w:val="26"/>
                <w:szCs w:val="26"/>
              </w:rPr>
              <w:t xml:space="preserve">Projektam jābūt pieņemtam un publicētam oficiālajā izdevumā „Latvijas Vēstnesis” līdz </w:t>
            </w:r>
            <w:r w:rsidR="00C141EC" w:rsidRPr="00C141EC">
              <w:rPr>
                <w:i/>
                <w:iCs/>
                <w:sz w:val="26"/>
                <w:szCs w:val="26"/>
              </w:rPr>
              <w:t>euro</w:t>
            </w:r>
            <w:r w:rsidR="007616A8">
              <w:rPr>
                <w:sz w:val="26"/>
                <w:szCs w:val="26"/>
              </w:rPr>
              <w:t xml:space="preserve"> ieviešanas dienai. </w:t>
            </w:r>
          </w:p>
        </w:tc>
      </w:tr>
    </w:tbl>
    <w:p w:rsidR="007616A8" w:rsidRDefault="007616A8" w:rsidP="004B0768">
      <w:pPr>
        <w:rPr>
          <w:sz w:val="26"/>
          <w:szCs w:val="26"/>
        </w:rPr>
      </w:pPr>
    </w:p>
    <w:p w:rsidR="007616A8" w:rsidRDefault="007616A8" w:rsidP="004B0768">
      <w:pPr>
        <w:rPr>
          <w:sz w:val="26"/>
          <w:szCs w:val="26"/>
        </w:rPr>
      </w:pPr>
      <w:r>
        <w:rPr>
          <w:sz w:val="26"/>
          <w:szCs w:val="26"/>
        </w:rPr>
        <w:t xml:space="preserve">Anotācijas II, III, IV, V, VI un VII sadaļa – projekts šis jomas neskar.  </w:t>
      </w:r>
    </w:p>
    <w:p w:rsidR="007616A8" w:rsidRPr="00A57CF7" w:rsidRDefault="007616A8" w:rsidP="004B0768">
      <w:pPr>
        <w:rPr>
          <w:sz w:val="26"/>
          <w:szCs w:val="26"/>
        </w:rPr>
      </w:pPr>
    </w:p>
    <w:p w:rsidR="007616A8" w:rsidRPr="00812A69" w:rsidRDefault="007616A8" w:rsidP="004B0768">
      <w:pPr>
        <w:rPr>
          <w:sz w:val="28"/>
          <w:szCs w:val="28"/>
        </w:rPr>
      </w:pPr>
    </w:p>
    <w:p w:rsidR="007616A8" w:rsidRPr="00812A69" w:rsidRDefault="007616A8" w:rsidP="0099480A">
      <w:pPr>
        <w:pStyle w:val="Heading5"/>
        <w:ind w:left="-203" w:firstLine="770"/>
        <w:rPr>
          <w:lang w:val="lv-LV"/>
        </w:rPr>
      </w:pPr>
      <w:r w:rsidRPr="00812A69">
        <w:rPr>
          <w:lang w:val="lv-LV"/>
        </w:rPr>
        <w:t>Izglītības un zinātnes ministrs</w:t>
      </w:r>
      <w:r w:rsidRPr="00812A69">
        <w:rPr>
          <w:lang w:val="lv-LV"/>
        </w:rPr>
        <w:tab/>
      </w:r>
      <w:r w:rsidRPr="00812A69">
        <w:rPr>
          <w:lang w:val="lv-LV"/>
        </w:rPr>
        <w:tab/>
      </w:r>
      <w:r w:rsidRPr="00812A69">
        <w:rPr>
          <w:lang w:val="lv-LV"/>
        </w:rPr>
        <w:tab/>
      </w:r>
      <w:r w:rsidRPr="00812A69">
        <w:rPr>
          <w:lang w:val="lv-LV"/>
        </w:rPr>
        <w:tab/>
      </w:r>
      <w:r w:rsidRPr="00812A69">
        <w:rPr>
          <w:lang w:val="lv-LV"/>
        </w:rPr>
        <w:tab/>
      </w:r>
      <w:r>
        <w:rPr>
          <w:lang w:val="lv-LV"/>
        </w:rPr>
        <w:t>V.Dombrovskis</w:t>
      </w:r>
    </w:p>
    <w:p w:rsidR="007616A8" w:rsidRPr="00812A69" w:rsidRDefault="007616A8" w:rsidP="004B0768">
      <w:pPr>
        <w:rPr>
          <w:sz w:val="28"/>
          <w:szCs w:val="28"/>
        </w:rPr>
      </w:pPr>
    </w:p>
    <w:p w:rsidR="007616A8" w:rsidRPr="00812A69" w:rsidRDefault="007616A8" w:rsidP="004B0768">
      <w:pPr>
        <w:rPr>
          <w:sz w:val="28"/>
          <w:szCs w:val="28"/>
        </w:rPr>
      </w:pPr>
    </w:p>
    <w:p w:rsidR="007616A8" w:rsidRPr="00812A69" w:rsidRDefault="007616A8" w:rsidP="004B0768">
      <w:pPr>
        <w:rPr>
          <w:sz w:val="28"/>
          <w:szCs w:val="28"/>
        </w:rPr>
      </w:pPr>
    </w:p>
    <w:p w:rsidR="007616A8" w:rsidRPr="00812A69" w:rsidRDefault="007616A8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892FB1" w:rsidRPr="000D6162" w:rsidRDefault="00892FB1" w:rsidP="000D6162">
      <w:pPr>
        <w:pStyle w:val="Heading5"/>
        <w:ind w:left="-203" w:firstLine="770"/>
        <w:rPr>
          <w:lang w:val="lv-LV"/>
        </w:rPr>
      </w:pPr>
      <w:r w:rsidRPr="000D6162">
        <w:rPr>
          <w:lang w:val="lv-LV"/>
        </w:rPr>
        <w:t xml:space="preserve">Valsts sekretāra vietniece – </w:t>
      </w:r>
    </w:p>
    <w:p w:rsidR="00892FB1" w:rsidRPr="000D6162" w:rsidRDefault="00892FB1" w:rsidP="000D6162">
      <w:pPr>
        <w:pStyle w:val="Heading5"/>
        <w:ind w:left="-203" w:firstLine="770"/>
        <w:rPr>
          <w:lang w:val="lv-LV"/>
        </w:rPr>
      </w:pPr>
      <w:r w:rsidRPr="000D6162">
        <w:rPr>
          <w:lang w:val="lv-LV"/>
        </w:rPr>
        <w:t xml:space="preserve">Nodrošinājuma un finanšu departamenta direktore , </w:t>
      </w:r>
    </w:p>
    <w:p w:rsidR="00892FB1" w:rsidRPr="000D6162" w:rsidRDefault="00892FB1" w:rsidP="000D6162">
      <w:pPr>
        <w:pStyle w:val="Heading5"/>
        <w:ind w:left="-203" w:firstLine="770"/>
        <w:rPr>
          <w:lang w:val="lv-LV"/>
        </w:rPr>
      </w:pPr>
      <w:r w:rsidRPr="000D6162">
        <w:rPr>
          <w:lang w:val="lv-LV"/>
        </w:rPr>
        <w:t xml:space="preserve">valsts sekretāra pienākumu izpildītāja           </w:t>
      </w:r>
      <w:r w:rsidR="000D6162">
        <w:rPr>
          <w:lang w:val="lv-LV"/>
        </w:rPr>
        <w:t xml:space="preserve">                        </w:t>
      </w:r>
      <w:r w:rsidR="000D6162" w:rsidRPr="000D6162">
        <w:rPr>
          <w:lang w:val="lv-LV"/>
        </w:rPr>
        <w:t>S.Batare</w:t>
      </w:r>
      <w:r w:rsidRPr="000D6162">
        <w:rPr>
          <w:lang w:val="lv-LV"/>
        </w:rPr>
        <w:t xml:space="preserve">                  </w:t>
      </w:r>
    </w:p>
    <w:p w:rsidR="007616A8" w:rsidRPr="00C81C80" w:rsidRDefault="007616A8" w:rsidP="000D6162">
      <w:pPr>
        <w:pStyle w:val="Heading5"/>
        <w:ind w:left="-203" w:firstLine="770"/>
      </w:pPr>
      <w:r w:rsidRPr="000D6162">
        <w:rPr>
          <w:lang w:val="lv-LV"/>
        </w:rPr>
        <w:tab/>
      </w:r>
      <w:r w:rsidRPr="000D6162">
        <w:rPr>
          <w:lang w:val="lv-LV"/>
        </w:rPr>
        <w:tab/>
      </w:r>
      <w:r w:rsidRPr="000D6162">
        <w:rPr>
          <w:lang w:val="lv-LV"/>
        </w:rPr>
        <w:tab/>
      </w:r>
      <w:r w:rsidRPr="000D6162">
        <w:rPr>
          <w:lang w:val="lv-LV"/>
        </w:rPr>
        <w:tab/>
      </w:r>
      <w:r w:rsidRPr="000D6162">
        <w:rPr>
          <w:lang w:val="lv-LV"/>
        </w:rPr>
        <w:tab/>
      </w:r>
      <w:r w:rsidRPr="000D6162">
        <w:rPr>
          <w:lang w:val="lv-LV"/>
        </w:rPr>
        <w:tab/>
      </w:r>
      <w:r>
        <w:tab/>
      </w:r>
    </w:p>
    <w:p w:rsidR="007616A8" w:rsidRDefault="007616A8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7616A8" w:rsidRDefault="007616A8" w:rsidP="0099480A">
      <w:pPr>
        <w:ind w:left="-203" w:firstLine="770"/>
        <w:rPr>
          <w:sz w:val="28"/>
          <w:szCs w:val="28"/>
        </w:rPr>
      </w:pPr>
    </w:p>
    <w:p w:rsidR="007616A8" w:rsidRDefault="007616A8" w:rsidP="0099480A">
      <w:pPr>
        <w:ind w:left="-203" w:firstLine="770"/>
        <w:rPr>
          <w:sz w:val="28"/>
          <w:szCs w:val="28"/>
        </w:rPr>
      </w:pPr>
    </w:p>
    <w:p w:rsidR="007616A8" w:rsidRPr="00A57CF7" w:rsidRDefault="007616A8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616A8" w:rsidRPr="00A57CF7" w:rsidRDefault="009428D2" w:rsidP="004B0768">
      <w:pPr>
        <w:jc w:val="both"/>
      </w:pPr>
      <w:r>
        <w:t>22</w:t>
      </w:r>
      <w:r w:rsidR="007616A8">
        <w:t>.</w:t>
      </w:r>
      <w:r w:rsidR="00480E6B">
        <w:t>07</w:t>
      </w:r>
      <w:r w:rsidR="007616A8">
        <w:t>.2013. 15:30</w:t>
      </w:r>
    </w:p>
    <w:p w:rsidR="007616A8" w:rsidRDefault="000D6162" w:rsidP="004B0768">
      <w:pPr>
        <w:rPr>
          <w:sz w:val="22"/>
          <w:szCs w:val="22"/>
        </w:rPr>
      </w:pPr>
      <w:r>
        <w:t>389</w:t>
      </w:r>
    </w:p>
    <w:p w:rsidR="007616A8" w:rsidRPr="00A57CF7" w:rsidRDefault="007616A8" w:rsidP="004B0768">
      <w:pPr>
        <w:rPr>
          <w:sz w:val="22"/>
          <w:szCs w:val="22"/>
        </w:rPr>
      </w:pPr>
      <w:r>
        <w:rPr>
          <w:sz w:val="22"/>
          <w:szCs w:val="22"/>
        </w:rPr>
        <w:t>A.Ziediņa</w:t>
      </w:r>
    </w:p>
    <w:p w:rsidR="007616A8" w:rsidRPr="00A57CF7" w:rsidRDefault="007616A8">
      <w:r>
        <w:rPr>
          <w:sz w:val="22"/>
          <w:szCs w:val="22"/>
        </w:rPr>
        <w:t>67047917</w:t>
      </w:r>
      <w:r w:rsidRPr="00A57CF7">
        <w:rPr>
          <w:sz w:val="22"/>
          <w:szCs w:val="22"/>
        </w:rPr>
        <w:t xml:space="preserve">, </w:t>
      </w:r>
      <w:r>
        <w:rPr>
          <w:sz w:val="22"/>
          <w:szCs w:val="22"/>
        </w:rPr>
        <w:t>agra.ziedina</w:t>
      </w:r>
      <w:r w:rsidRPr="00A57CF7">
        <w:rPr>
          <w:sz w:val="22"/>
          <w:szCs w:val="22"/>
        </w:rPr>
        <w:t>@izm.gov.lv</w:t>
      </w:r>
    </w:p>
    <w:sectPr w:rsidR="007616A8" w:rsidRPr="00A57CF7" w:rsidSect="00E1528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38" w:rsidRDefault="00AB1838" w:rsidP="004B0768">
      <w:r>
        <w:separator/>
      </w:r>
    </w:p>
  </w:endnote>
  <w:endnote w:type="continuationSeparator" w:id="0">
    <w:p w:rsidR="00AB1838" w:rsidRDefault="00AB1838" w:rsidP="004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A8" w:rsidRPr="00DA6CBF" w:rsidRDefault="007616A8" w:rsidP="00B949DE">
    <w:pPr>
      <w:jc w:val="both"/>
    </w:pPr>
    <w:r w:rsidRPr="00812A69">
      <w:t>IZMAnot_</w:t>
    </w:r>
    <w:r w:rsidR="009428D2">
      <w:t>2207</w:t>
    </w:r>
    <w:r w:rsidR="009428D2" w:rsidRPr="00812A69">
      <w:t>13</w:t>
    </w:r>
    <w:r w:rsidRPr="00812A69">
      <w:t>_</w:t>
    </w:r>
    <w:r>
      <w:t>groz1206</w:t>
    </w:r>
    <w:r w:rsidRPr="00812A69">
      <w:t xml:space="preserve">; </w:t>
    </w:r>
    <w:r w:rsidRPr="00DA6CBF">
      <w:t>Grozījums Ministru kabineta 2010.gada 28.decembra noteikumos Nr.1206 „Kārtība, kādā aprēķina, piešķir un izlieto valsts budžetā paredzētos līdzekļus pašvaldībām pamatizglītības iestādes skolēnu ēdināšanai”</w:t>
    </w:r>
  </w:p>
  <w:p w:rsidR="007616A8" w:rsidRPr="00812A69" w:rsidRDefault="007616A8" w:rsidP="00B949DE">
    <w:pPr>
      <w:jc w:val="both"/>
    </w:pPr>
  </w:p>
  <w:p w:rsidR="007616A8" w:rsidRPr="00B949DE" w:rsidRDefault="007616A8" w:rsidP="00B94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A8" w:rsidRPr="00DA6CBF" w:rsidRDefault="007616A8" w:rsidP="00DA6CBF">
    <w:pPr>
      <w:jc w:val="both"/>
    </w:pPr>
    <w:r w:rsidRPr="00812A69">
      <w:t>IZMAnot_</w:t>
    </w:r>
    <w:r w:rsidR="009428D2">
      <w:t>2207</w:t>
    </w:r>
    <w:r w:rsidR="009428D2" w:rsidRPr="00812A69">
      <w:t>13</w:t>
    </w:r>
    <w:r w:rsidRPr="00812A69">
      <w:t>_</w:t>
    </w:r>
    <w:r>
      <w:t>groz1206</w:t>
    </w:r>
    <w:r w:rsidRPr="00812A69">
      <w:t xml:space="preserve">; </w:t>
    </w:r>
    <w:r w:rsidRPr="00DA6CBF">
      <w:t>Grozījums Ministru kabineta 2010.gada 28.decembra noteikumos Nr.1206 „Kārtība, kādā aprēķina, piešķir un izlieto valsts budžetā paredzētos līdzekļus pašvaldībām pamatizglītības iestādes skolēnu ēdināšanai”</w:t>
    </w:r>
  </w:p>
  <w:p w:rsidR="007616A8" w:rsidRPr="00812A69" w:rsidRDefault="007616A8" w:rsidP="00C113D9">
    <w:pPr>
      <w:jc w:val="both"/>
    </w:pPr>
  </w:p>
  <w:p w:rsidR="007616A8" w:rsidRDefault="007616A8" w:rsidP="00C113D9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38" w:rsidRDefault="00AB1838" w:rsidP="004B0768">
      <w:r>
        <w:separator/>
      </w:r>
    </w:p>
  </w:footnote>
  <w:footnote w:type="continuationSeparator" w:id="0">
    <w:p w:rsidR="00AB1838" w:rsidRDefault="00AB1838" w:rsidP="004B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A8" w:rsidRDefault="008104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F57">
      <w:rPr>
        <w:noProof/>
      </w:rPr>
      <w:t>2</w:t>
    </w:r>
    <w:r>
      <w:rPr>
        <w:noProof/>
      </w:rPr>
      <w:fldChar w:fldCharType="end"/>
    </w:r>
  </w:p>
  <w:p w:rsidR="007616A8" w:rsidRDefault="00761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54" w:hanging="360"/>
      </w:pPr>
    </w:lvl>
    <w:lvl w:ilvl="2" w:tplc="0426001B">
      <w:start w:val="1"/>
      <w:numFmt w:val="lowerRoman"/>
      <w:lvlText w:val="%3."/>
      <w:lvlJc w:val="right"/>
      <w:pPr>
        <w:ind w:left="1874" w:hanging="180"/>
      </w:pPr>
    </w:lvl>
    <w:lvl w:ilvl="3" w:tplc="0426000F">
      <w:start w:val="1"/>
      <w:numFmt w:val="decimal"/>
      <w:lvlText w:val="%4."/>
      <w:lvlJc w:val="left"/>
      <w:pPr>
        <w:ind w:left="2594" w:hanging="360"/>
      </w:pPr>
    </w:lvl>
    <w:lvl w:ilvl="4" w:tplc="04260019">
      <w:start w:val="1"/>
      <w:numFmt w:val="lowerLetter"/>
      <w:lvlText w:val="%5."/>
      <w:lvlJc w:val="left"/>
      <w:pPr>
        <w:ind w:left="3314" w:hanging="360"/>
      </w:pPr>
    </w:lvl>
    <w:lvl w:ilvl="5" w:tplc="0426001B">
      <w:start w:val="1"/>
      <w:numFmt w:val="lowerRoman"/>
      <w:lvlText w:val="%6."/>
      <w:lvlJc w:val="right"/>
      <w:pPr>
        <w:ind w:left="4034" w:hanging="180"/>
      </w:pPr>
    </w:lvl>
    <w:lvl w:ilvl="6" w:tplc="0426000F">
      <w:start w:val="1"/>
      <w:numFmt w:val="decimal"/>
      <w:lvlText w:val="%7."/>
      <w:lvlJc w:val="left"/>
      <w:pPr>
        <w:ind w:left="4754" w:hanging="360"/>
      </w:pPr>
    </w:lvl>
    <w:lvl w:ilvl="7" w:tplc="04260019">
      <w:start w:val="1"/>
      <w:numFmt w:val="lowerLetter"/>
      <w:lvlText w:val="%8."/>
      <w:lvlJc w:val="left"/>
      <w:pPr>
        <w:ind w:left="5474" w:hanging="360"/>
      </w:pPr>
    </w:lvl>
    <w:lvl w:ilvl="8" w:tplc="0426001B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68"/>
    <w:rsid w:val="00007F20"/>
    <w:rsid w:val="00011989"/>
    <w:rsid w:val="00023A83"/>
    <w:rsid w:val="00027D4B"/>
    <w:rsid w:val="000315E0"/>
    <w:rsid w:val="000327F7"/>
    <w:rsid w:val="00032B91"/>
    <w:rsid w:val="00032F55"/>
    <w:rsid w:val="00036065"/>
    <w:rsid w:val="00044E67"/>
    <w:rsid w:val="0006208F"/>
    <w:rsid w:val="00067B3B"/>
    <w:rsid w:val="000772E6"/>
    <w:rsid w:val="0007794D"/>
    <w:rsid w:val="000833C5"/>
    <w:rsid w:val="00084F40"/>
    <w:rsid w:val="00091CF5"/>
    <w:rsid w:val="00096AC3"/>
    <w:rsid w:val="000A4A7D"/>
    <w:rsid w:val="000B310F"/>
    <w:rsid w:val="000C1F18"/>
    <w:rsid w:val="000D13D2"/>
    <w:rsid w:val="000D4C7F"/>
    <w:rsid w:val="000D6162"/>
    <w:rsid w:val="000E10F5"/>
    <w:rsid w:val="000E44C9"/>
    <w:rsid w:val="000E50EC"/>
    <w:rsid w:val="000E55D5"/>
    <w:rsid w:val="000F2CC3"/>
    <w:rsid w:val="000F4E8F"/>
    <w:rsid w:val="000F5EED"/>
    <w:rsid w:val="00101667"/>
    <w:rsid w:val="001077E2"/>
    <w:rsid w:val="0011012B"/>
    <w:rsid w:val="0012125E"/>
    <w:rsid w:val="00131A5E"/>
    <w:rsid w:val="00144536"/>
    <w:rsid w:val="00146F14"/>
    <w:rsid w:val="00166234"/>
    <w:rsid w:val="00166AF1"/>
    <w:rsid w:val="0017366D"/>
    <w:rsid w:val="001750F3"/>
    <w:rsid w:val="001838BC"/>
    <w:rsid w:val="00185198"/>
    <w:rsid w:val="001A36EE"/>
    <w:rsid w:val="001A5366"/>
    <w:rsid w:val="001A5BDD"/>
    <w:rsid w:val="001B1B92"/>
    <w:rsid w:val="001C3AF5"/>
    <w:rsid w:val="001C4009"/>
    <w:rsid w:val="001D4B90"/>
    <w:rsid w:val="001D607D"/>
    <w:rsid w:val="001E40A5"/>
    <w:rsid w:val="001E5380"/>
    <w:rsid w:val="001F0D3B"/>
    <w:rsid w:val="00215D48"/>
    <w:rsid w:val="00215ED6"/>
    <w:rsid w:val="00240F57"/>
    <w:rsid w:val="00242113"/>
    <w:rsid w:val="00244876"/>
    <w:rsid w:val="0026542E"/>
    <w:rsid w:val="00270D5F"/>
    <w:rsid w:val="00281F94"/>
    <w:rsid w:val="00283E46"/>
    <w:rsid w:val="00284411"/>
    <w:rsid w:val="002A0290"/>
    <w:rsid w:val="002A2E82"/>
    <w:rsid w:val="002B2090"/>
    <w:rsid w:val="002B2F11"/>
    <w:rsid w:val="002B559B"/>
    <w:rsid w:val="002C2F95"/>
    <w:rsid w:val="002C4F87"/>
    <w:rsid w:val="002D30D2"/>
    <w:rsid w:val="002D31DC"/>
    <w:rsid w:val="002D69BB"/>
    <w:rsid w:val="002E29A0"/>
    <w:rsid w:val="002F0829"/>
    <w:rsid w:val="00301D23"/>
    <w:rsid w:val="003125C2"/>
    <w:rsid w:val="00317D04"/>
    <w:rsid w:val="0032364C"/>
    <w:rsid w:val="00333447"/>
    <w:rsid w:val="00340895"/>
    <w:rsid w:val="003545D7"/>
    <w:rsid w:val="0036240A"/>
    <w:rsid w:val="00364962"/>
    <w:rsid w:val="0036686E"/>
    <w:rsid w:val="00380474"/>
    <w:rsid w:val="00385A43"/>
    <w:rsid w:val="00390398"/>
    <w:rsid w:val="00390878"/>
    <w:rsid w:val="003A3C4E"/>
    <w:rsid w:val="003B2DE0"/>
    <w:rsid w:val="003B36BB"/>
    <w:rsid w:val="003B4996"/>
    <w:rsid w:val="003C1BD0"/>
    <w:rsid w:val="003C70B4"/>
    <w:rsid w:val="003F411C"/>
    <w:rsid w:val="003F60BB"/>
    <w:rsid w:val="00403B08"/>
    <w:rsid w:val="004063AA"/>
    <w:rsid w:val="00421C90"/>
    <w:rsid w:val="0043750C"/>
    <w:rsid w:val="00440F5F"/>
    <w:rsid w:val="00450008"/>
    <w:rsid w:val="00450456"/>
    <w:rsid w:val="0045413A"/>
    <w:rsid w:val="004566EA"/>
    <w:rsid w:val="00460BEB"/>
    <w:rsid w:val="00465902"/>
    <w:rsid w:val="0046766C"/>
    <w:rsid w:val="00471B45"/>
    <w:rsid w:val="00480E6B"/>
    <w:rsid w:val="00493E93"/>
    <w:rsid w:val="00494A48"/>
    <w:rsid w:val="004968B2"/>
    <w:rsid w:val="004B0768"/>
    <w:rsid w:val="004C6F79"/>
    <w:rsid w:val="004D2894"/>
    <w:rsid w:val="004D2B40"/>
    <w:rsid w:val="004D602E"/>
    <w:rsid w:val="004F3289"/>
    <w:rsid w:val="0050541B"/>
    <w:rsid w:val="005171E0"/>
    <w:rsid w:val="0052096A"/>
    <w:rsid w:val="00521474"/>
    <w:rsid w:val="00526A50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36AE"/>
    <w:rsid w:val="00607E09"/>
    <w:rsid w:val="00615D84"/>
    <w:rsid w:val="00623AB1"/>
    <w:rsid w:val="00626DCE"/>
    <w:rsid w:val="00630D4B"/>
    <w:rsid w:val="00633BA9"/>
    <w:rsid w:val="0064791E"/>
    <w:rsid w:val="00674C7C"/>
    <w:rsid w:val="00675CB4"/>
    <w:rsid w:val="00677B55"/>
    <w:rsid w:val="006823E4"/>
    <w:rsid w:val="006900F4"/>
    <w:rsid w:val="006A58C9"/>
    <w:rsid w:val="006C73B6"/>
    <w:rsid w:val="006D02B1"/>
    <w:rsid w:val="006E52D9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4418E"/>
    <w:rsid w:val="00744CCE"/>
    <w:rsid w:val="007474F0"/>
    <w:rsid w:val="007515E2"/>
    <w:rsid w:val="007616A8"/>
    <w:rsid w:val="00764B03"/>
    <w:rsid w:val="0076623E"/>
    <w:rsid w:val="0076731E"/>
    <w:rsid w:val="00785032"/>
    <w:rsid w:val="0079021A"/>
    <w:rsid w:val="007A7961"/>
    <w:rsid w:val="007B7C39"/>
    <w:rsid w:val="007C19CC"/>
    <w:rsid w:val="007C6CF5"/>
    <w:rsid w:val="007D14A8"/>
    <w:rsid w:val="007D1DF0"/>
    <w:rsid w:val="007D58FC"/>
    <w:rsid w:val="007D79EB"/>
    <w:rsid w:val="007E4900"/>
    <w:rsid w:val="007F0409"/>
    <w:rsid w:val="0081046E"/>
    <w:rsid w:val="00812A69"/>
    <w:rsid w:val="0082300D"/>
    <w:rsid w:val="00824840"/>
    <w:rsid w:val="008402ED"/>
    <w:rsid w:val="00846EAD"/>
    <w:rsid w:val="008470C5"/>
    <w:rsid w:val="00847B4E"/>
    <w:rsid w:val="00852B35"/>
    <w:rsid w:val="00855491"/>
    <w:rsid w:val="0086619F"/>
    <w:rsid w:val="00874DB2"/>
    <w:rsid w:val="00883099"/>
    <w:rsid w:val="00884933"/>
    <w:rsid w:val="008878E0"/>
    <w:rsid w:val="00892FB1"/>
    <w:rsid w:val="008A0222"/>
    <w:rsid w:val="008A7909"/>
    <w:rsid w:val="008A7D12"/>
    <w:rsid w:val="008C2C7F"/>
    <w:rsid w:val="008C3451"/>
    <w:rsid w:val="008C6884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238D"/>
    <w:rsid w:val="00913B89"/>
    <w:rsid w:val="00917A6D"/>
    <w:rsid w:val="0092114A"/>
    <w:rsid w:val="009248A4"/>
    <w:rsid w:val="009428D2"/>
    <w:rsid w:val="00942C12"/>
    <w:rsid w:val="009466CA"/>
    <w:rsid w:val="009468DB"/>
    <w:rsid w:val="00947571"/>
    <w:rsid w:val="00955997"/>
    <w:rsid w:val="00961190"/>
    <w:rsid w:val="00964A47"/>
    <w:rsid w:val="00974ABB"/>
    <w:rsid w:val="009832D2"/>
    <w:rsid w:val="009835ED"/>
    <w:rsid w:val="00986BA2"/>
    <w:rsid w:val="0099480A"/>
    <w:rsid w:val="0099557B"/>
    <w:rsid w:val="009A1263"/>
    <w:rsid w:val="009A5D6D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9F71BF"/>
    <w:rsid w:val="00A040D6"/>
    <w:rsid w:val="00A10AC7"/>
    <w:rsid w:val="00A1181E"/>
    <w:rsid w:val="00A26128"/>
    <w:rsid w:val="00A410A6"/>
    <w:rsid w:val="00A533FC"/>
    <w:rsid w:val="00A57CF7"/>
    <w:rsid w:val="00A7012A"/>
    <w:rsid w:val="00A713E6"/>
    <w:rsid w:val="00A75A2B"/>
    <w:rsid w:val="00A8351A"/>
    <w:rsid w:val="00A83A52"/>
    <w:rsid w:val="00AA0293"/>
    <w:rsid w:val="00AA4C4A"/>
    <w:rsid w:val="00AB1838"/>
    <w:rsid w:val="00AB5139"/>
    <w:rsid w:val="00AB58C6"/>
    <w:rsid w:val="00AB5A92"/>
    <w:rsid w:val="00AC37A5"/>
    <w:rsid w:val="00AD62E5"/>
    <w:rsid w:val="00AD6BD8"/>
    <w:rsid w:val="00AE2F05"/>
    <w:rsid w:val="00AE782C"/>
    <w:rsid w:val="00AE7B50"/>
    <w:rsid w:val="00AE7E40"/>
    <w:rsid w:val="00B11683"/>
    <w:rsid w:val="00B22834"/>
    <w:rsid w:val="00B2288A"/>
    <w:rsid w:val="00B3083B"/>
    <w:rsid w:val="00B35BDC"/>
    <w:rsid w:val="00B40048"/>
    <w:rsid w:val="00B47924"/>
    <w:rsid w:val="00B50204"/>
    <w:rsid w:val="00B65676"/>
    <w:rsid w:val="00B65F0C"/>
    <w:rsid w:val="00B7292E"/>
    <w:rsid w:val="00B75126"/>
    <w:rsid w:val="00B80EE9"/>
    <w:rsid w:val="00B91466"/>
    <w:rsid w:val="00B916D8"/>
    <w:rsid w:val="00B949DE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141EC"/>
    <w:rsid w:val="00C3228B"/>
    <w:rsid w:val="00C32B01"/>
    <w:rsid w:val="00C342F9"/>
    <w:rsid w:val="00C349AB"/>
    <w:rsid w:val="00C46F29"/>
    <w:rsid w:val="00C518A2"/>
    <w:rsid w:val="00C520E0"/>
    <w:rsid w:val="00C5574A"/>
    <w:rsid w:val="00C57E26"/>
    <w:rsid w:val="00C6030D"/>
    <w:rsid w:val="00C70455"/>
    <w:rsid w:val="00C81C80"/>
    <w:rsid w:val="00C84954"/>
    <w:rsid w:val="00C86281"/>
    <w:rsid w:val="00C91604"/>
    <w:rsid w:val="00C954D6"/>
    <w:rsid w:val="00CA4159"/>
    <w:rsid w:val="00CD0B58"/>
    <w:rsid w:val="00CD6DA1"/>
    <w:rsid w:val="00CD76A7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66206"/>
    <w:rsid w:val="00D77AEB"/>
    <w:rsid w:val="00D81883"/>
    <w:rsid w:val="00D83E36"/>
    <w:rsid w:val="00D94104"/>
    <w:rsid w:val="00D96EE8"/>
    <w:rsid w:val="00DA1178"/>
    <w:rsid w:val="00DA6CBF"/>
    <w:rsid w:val="00DC3BBA"/>
    <w:rsid w:val="00DD2C2A"/>
    <w:rsid w:val="00DF0785"/>
    <w:rsid w:val="00DF5176"/>
    <w:rsid w:val="00DF6C44"/>
    <w:rsid w:val="00DF751E"/>
    <w:rsid w:val="00E12663"/>
    <w:rsid w:val="00E126F8"/>
    <w:rsid w:val="00E15284"/>
    <w:rsid w:val="00E158A8"/>
    <w:rsid w:val="00E220D0"/>
    <w:rsid w:val="00E31A73"/>
    <w:rsid w:val="00E3374A"/>
    <w:rsid w:val="00E52144"/>
    <w:rsid w:val="00E54B3A"/>
    <w:rsid w:val="00E61DD9"/>
    <w:rsid w:val="00E620A5"/>
    <w:rsid w:val="00E64EA7"/>
    <w:rsid w:val="00E73448"/>
    <w:rsid w:val="00E7613E"/>
    <w:rsid w:val="00E8444D"/>
    <w:rsid w:val="00E872EA"/>
    <w:rsid w:val="00E9179D"/>
    <w:rsid w:val="00E96EC6"/>
    <w:rsid w:val="00E974E2"/>
    <w:rsid w:val="00EA2202"/>
    <w:rsid w:val="00EB7B7B"/>
    <w:rsid w:val="00EC0CBA"/>
    <w:rsid w:val="00ED0303"/>
    <w:rsid w:val="00ED3A39"/>
    <w:rsid w:val="00EE124B"/>
    <w:rsid w:val="00EE42A0"/>
    <w:rsid w:val="00EE7128"/>
    <w:rsid w:val="00EE7D8B"/>
    <w:rsid w:val="00EF120E"/>
    <w:rsid w:val="00EF12DC"/>
    <w:rsid w:val="00EF798B"/>
    <w:rsid w:val="00F006DE"/>
    <w:rsid w:val="00F06BD4"/>
    <w:rsid w:val="00F10E8B"/>
    <w:rsid w:val="00F2791D"/>
    <w:rsid w:val="00F27B17"/>
    <w:rsid w:val="00F31C85"/>
    <w:rsid w:val="00F3607B"/>
    <w:rsid w:val="00F5338E"/>
    <w:rsid w:val="00F5595A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768"/>
    <w:pPr>
      <w:keepNext/>
      <w:ind w:firstLine="709"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B0768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0768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4B0768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naisc">
    <w:name w:val="naisc"/>
    <w:basedOn w:val="Normal"/>
    <w:uiPriority w:val="99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99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B08"/>
    <w:rPr>
      <w:rFonts w:ascii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351A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D09"/>
    <w:rPr>
      <w:rFonts w:ascii="Tahoma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uiPriority w:val="99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uiPriority w:val="99"/>
    <w:rsid w:val="005972B9"/>
  </w:style>
  <w:style w:type="paragraph" w:styleId="ListParagraph">
    <w:name w:val="List Paragraph"/>
    <w:basedOn w:val="Normal"/>
    <w:uiPriority w:val="99"/>
    <w:qFormat/>
    <w:rsid w:val="00E15284"/>
    <w:pPr>
      <w:ind w:left="720"/>
    </w:pPr>
  </w:style>
  <w:style w:type="paragraph" w:styleId="NormalWeb">
    <w:name w:val="Normal (Web)"/>
    <w:basedOn w:val="Normal"/>
    <w:uiPriority w:val="99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uiPriority w:val="99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uiPriority w:val="99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1B1B92"/>
  </w:style>
  <w:style w:type="character" w:styleId="CommentReference">
    <w:name w:val="annotation reference"/>
    <w:basedOn w:val="DefaultParagraphFont"/>
    <w:uiPriority w:val="99"/>
    <w:semiHidden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0B5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0B58"/>
    <w:rPr>
      <w:rFonts w:ascii="Times New Roman" w:hAnsi="Times New Roman" w:cs="Times New Roman"/>
      <w:b/>
      <w:bCs/>
    </w:rPr>
  </w:style>
  <w:style w:type="paragraph" w:customStyle="1" w:styleId="tv20787921">
    <w:name w:val="tv207_87_921"/>
    <w:basedOn w:val="Normal"/>
    <w:uiPriority w:val="99"/>
    <w:rsid w:val="002A2E82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768"/>
    <w:pPr>
      <w:keepNext/>
      <w:ind w:firstLine="709"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B0768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0768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4B0768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naisc">
    <w:name w:val="naisc"/>
    <w:basedOn w:val="Normal"/>
    <w:uiPriority w:val="99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99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B08"/>
    <w:rPr>
      <w:rFonts w:ascii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351A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D09"/>
    <w:rPr>
      <w:rFonts w:ascii="Tahoma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uiPriority w:val="99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uiPriority w:val="99"/>
    <w:rsid w:val="005972B9"/>
  </w:style>
  <w:style w:type="paragraph" w:styleId="ListParagraph">
    <w:name w:val="List Paragraph"/>
    <w:basedOn w:val="Normal"/>
    <w:uiPriority w:val="99"/>
    <w:qFormat/>
    <w:rsid w:val="00E15284"/>
    <w:pPr>
      <w:ind w:left="720"/>
    </w:pPr>
  </w:style>
  <w:style w:type="paragraph" w:styleId="NormalWeb">
    <w:name w:val="Normal (Web)"/>
    <w:basedOn w:val="Normal"/>
    <w:uiPriority w:val="99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uiPriority w:val="99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uiPriority w:val="99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1B1B92"/>
  </w:style>
  <w:style w:type="character" w:styleId="CommentReference">
    <w:name w:val="annotation reference"/>
    <w:basedOn w:val="DefaultParagraphFont"/>
    <w:uiPriority w:val="99"/>
    <w:semiHidden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0B5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0B58"/>
    <w:rPr>
      <w:rFonts w:ascii="Times New Roman" w:hAnsi="Times New Roman" w:cs="Times New Roman"/>
      <w:b/>
      <w:bCs/>
    </w:rPr>
  </w:style>
  <w:style w:type="paragraph" w:customStyle="1" w:styleId="tv20787921">
    <w:name w:val="tv207_87_921"/>
    <w:basedOn w:val="Normal"/>
    <w:uiPriority w:val="99"/>
    <w:rsid w:val="002A2E82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3770-FC95-4327-98B2-4A2A789E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28.decembra noteikumos Nr.1206 "Kārtība, kādā aprēķina, piešķir un izlieto valsts budžetā paredzētos līdzekļus pašvaldībām pamatizglītības iestādes skolēnu ēdināšanai"</vt:lpstr>
    </vt:vector>
  </TitlesOfParts>
  <Company>Izglītības un zinātnes ministrija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28.decembra noteikumos Nr.1206 "Kārtība, kādā aprēķina, piešķir un izlieto valsts budžetā paredzētos līdzekļus pašvaldībām pamatizglītības iestādes skolēnu ēdināšanai"</dc:title>
  <dc:subject>Ministru kabineta noteikumu projekta anotācija</dc:subject>
  <dc:creator>Agra Ziediņa</dc:creator>
  <dc:description>agra.ziedina@izm.gov.lv; 67047917</dc:description>
  <cp:lastModifiedBy>Laimdota Adlere</cp:lastModifiedBy>
  <cp:revision>4</cp:revision>
  <cp:lastPrinted>2013-07-18T12:13:00Z</cp:lastPrinted>
  <dcterms:created xsi:type="dcterms:W3CDTF">2013-07-26T12:40:00Z</dcterms:created>
  <dcterms:modified xsi:type="dcterms:W3CDTF">2013-07-26T12:40:00Z</dcterms:modified>
  <cp:category>tehniskais projekts</cp:category>
</cp:coreProperties>
</file>